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D7" w:rsidRDefault="00E116D7" w:rsidP="00B51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реализации плана мероприятий по развитию конкуренции </w:t>
      </w:r>
    </w:p>
    <w:p w:rsidR="00E116D7" w:rsidRDefault="00E116D7" w:rsidP="00B51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интересах потребителей товаров и услуг на территории Карасукского района за 2018 год</w:t>
      </w:r>
    </w:p>
    <w:p w:rsidR="00E116D7" w:rsidRDefault="00E116D7" w:rsidP="00B51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22" w:tblpY="1"/>
        <w:tblOverlap w:val="never"/>
        <w:tblW w:w="516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40"/>
        <w:gridCol w:w="3911"/>
        <w:gridCol w:w="61"/>
        <w:gridCol w:w="94"/>
        <w:gridCol w:w="1547"/>
        <w:gridCol w:w="12"/>
        <w:gridCol w:w="49"/>
        <w:gridCol w:w="1556"/>
        <w:gridCol w:w="9"/>
        <w:gridCol w:w="7303"/>
      </w:tblGrid>
      <w:tr w:rsidR="007F017B" w:rsidRPr="007F017B" w:rsidTr="002866C9">
        <w:trPr>
          <w:trHeight w:val="458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 исполнения мероприятия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7F017B" w:rsidTr="00342C46">
        <w:trPr>
          <w:trHeight w:val="201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дошкольного образования</w:t>
            </w:r>
          </w:p>
        </w:tc>
      </w:tr>
      <w:tr w:rsidR="007F017B" w:rsidRPr="007F017B" w:rsidTr="002866C9">
        <w:trPr>
          <w:trHeight w:val="1718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информационно-методической поддержки по вопросам дошкольного образования.</w:t>
            </w: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три консультационных пункта на базе МБДОУ №6, МБДОУ№8, МБДОУ №</w:t>
            </w:r>
            <w:r w:rsidR="00CF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9 за 2018 год обратились за консультацией к специалистам 83 родителя. Законные представители  получили квалифицированную методическую, психолого-педагогическую, консультативную помощь по различным вопросам воспитания, развития и дошкольного образования детей</w:t>
            </w:r>
          </w:p>
        </w:tc>
      </w:tr>
      <w:tr w:rsidR="007F017B" w:rsidRPr="007F017B" w:rsidTr="002866C9">
        <w:trPr>
          <w:trHeight w:val="75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группы раннего развития на базе МБДОУ № 4 «Алёнушка».</w:t>
            </w: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2016-2017гг.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2016-201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2018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лся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возрасте одного года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созданные в МБДОУ № 4 «Аленушка»,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№1 «Родничок», МБДОУ №7 «Снежинка», МБДОУ Калиновский детский сад, МБДОУ Морозовский детский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017B" w:rsidRPr="007F017B" w:rsidRDefault="007F017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года трех месяцев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 в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Александровский детский сад, МБДОУ Ирбизинский детский сад, МБДОУ Троицкий детский сад, МБДОУ Шило-Курьинский детский сад, МБДОУ Чернокурьинский детский сад, Хорошенский детский сад, Студёновский детский сад.</w:t>
            </w:r>
          </w:p>
        </w:tc>
      </w:tr>
      <w:tr w:rsidR="007F017B" w:rsidRPr="007F017B" w:rsidTr="00342C46">
        <w:trPr>
          <w:trHeight w:val="216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дополнительного образования детей</w:t>
            </w:r>
          </w:p>
        </w:tc>
      </w:tr>
      <w:tr w:rsidR="007F017B" w:rsidRPr="007F017B" w:rsidTr="002866C9">
        <w:trPr>
          <w:trHeight w:val="876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создание детского технопарка на территории района.</w:t>
            </w: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2017-2018гг.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AB" w:rsidRPr="006645AB" w:rsidRDefault="006645A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технического лицея №176 работает ресурсный центр с одаренными детьми, проведены: реализуются спецкурсы  «Фрезерные работы на станках с ЧПУ», технопредпринимательство, авиамоделирование.</w:t>
            </w:r>
          </w:p>
          <w:p w:rsidR="006645AB" w:rsidRPr="006645AB" w:rsidRDefault="006645A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Проведены интеллектуальные состязания: математическая карусель, математическая абака, математический лабиринт.</w:t>
            </w:r>
          </w:p>
          <w:p w:rsidR="006645AB" w:rsidRPr="006645AB" w:rsidRDefault="006645A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 по </w:t>
            </w:r>
            <w:r w:rsidR="00227464"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преемственности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детскими садами, проектно-исследовательская деятельность «Мир моих интересов».</w:t>
            </w:r>
          </w:p>
          <w:p w:rsidR="006645AB" w:rsidRPr="006645AB" w:rsidRDefault="006645AB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период года проведены каникулярные профильные смены: «Я - исследователь», «Я - абитуриент». Олимпиадное движение довузовской подготовки учащихся:</w:t>
            </w:r>
          </w:p>
          <w:p w:rsidR="006645AB" w:rsidRPr="006645AB" w:rsidRDefault="006645AB" w:rsidP="00B51958">
            <w:pPr>
              <w:tabs>
                <w:tab w:val="left" w:pos="498"/>
              </w:tabs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Открытая межвузовская олимпиада школьников СФО «Будущее Сибири»(физика, химия);</w:t>
            </w:r>
          </w:p>
          <w:p w:rsidR="006645AB" w:rsidRPr="006645AB" w:rsidRDefault="006645AB" w:rsidP="00B51958">
            <w:pPr>
              <w:tabs>
                <w:tab w:val="left" w:pos="498"/>
              </w:tabs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Открытая региональная межвузовская олимпиада вузов Томской области (ОРМО) (литература, история, физика, биохимия и биотехнология);</w:t>
            </w:r>
          </w:p>
          <w:p w:rsidR="006645AB" w:rsidRPr="006645AB" w:rsidRDefault="006645AB" w:rsidP="00B51958">
            <w:pPr>
              <w:tabs>
                <w:tab w:val="left" w:pos="498"/>
              </w:tabs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Межрегиональная отраслевая олимпиада школьников «Паруса Надежды» (математика, физика);</w:t>
            </w:r>
          </w:p>
          <w:p w:rsidR="006645AB" w:rsidRPr="007F017B" w:rsidRDefault="006645AB" w:rsidP="00B51958">
            <w:pPr>
              <w:tabs>
                <w:tab w:val="left" w:pos="498"/>
              </w:tabs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Олимпиады вузов для целевого набора</w:t>
            </w:r>
            <w:r w:rsid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45AB">
              <w:rPr>
                <w:rFonts w:ascii="Times New Roman" w:eastAsia="Times New Roman" w:hAnsi="Times New Roman" w:cs="Times New Roman"/>
                <w:sz w:val="24"/>
                <w:szCs w:val="24"/>
              </w:rPr>
              <w:t>НГАВТ (математика), НГТУ (математика, физика, русский язык).</w:t>
            </w:r>
          </w:p>
        </w:tc>
      </w:tr>
      <w:tr w:rsidR="007F017B" w:rsidRPr="007F017B" w:rsidTr="002866C9">
        <w:trPr>
          <w:trHeight w:val="462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профориентационных центров на базе образовательных учреждений, дома детского творчества, детско-юнощеского центра, работа учебно-производственных бригад на базе акционерных обществ района.</w:t>
            </w: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2017-2018гг.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7C" w:rsidRDefault="00227464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В гимназии работает  центр по довузовской работе с НГАУ, в т/л №</w:t>
            </w:r>
            <w:r w:rsidR="00286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176 центр по довузовской  работе с техническими ВУЗами г.Новосибирска, ТГУ.</w:t>
            </w:r>
            <w:r w:rsidR="009B2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7464" w:rsidRPr="00227464" w:rsidRDefault="00227464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базе </w:t>
            </w:r>
            <w:r w:rsidR="009B21A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Детско-юношеского центра</w:t>
            </w: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 объединение «Судомоделирование», которое посещают 18 несовершеннолетних.</w:t>
            </w:r>
          </w:p>
          <w:p w:rsidR="00227464" w:rsidRPr="00227464" w:rsidRDefault="00950D1F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Проведены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городские соревнования  по авиамоделированию</w:t>
            </w:r>
            <w:r w:rsidR="00931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(участники МБ</w:t>
            </w:r>
            <w:r w:rsidR="00B76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 ТЛ №176, МБУ ДЮЦ, МБОУ ДДТ). Организовано участие во 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</w:t>
            </w:r>
            <w:r w:rsidR="00B769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</w:t>
            </w:r>
            <w:r w:rsidR="00B769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конференция учащихся инженерных и специализированных классов «Развитие инженерной мысли: от прошлого к будущему». В </w:t>
            </w:r>
            <w:r w:rsidR="009B21A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учреждениях</w:t>
            </w:r>
            <w:r w:rsidR="00227464"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обновлены уголки по профориентации.</w:t>
            </w:r>
          </w:p>
          <w:p w:rsidR="007F017B" w:rsidRPr="007F017B" w:rsidRDefault="00227464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летний период при </w:t>
            </w:r>
            <w:r w:rsidR="009B21A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учреждениях</w:t>
            </w: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организуют работу </w:t>
            </w:r>
            <w:r w:rsidR="009B21A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учебно-производственных бригад (далее - УПБ)</w:t>
            </w:r>
            <w:r w:rsidRPr="00227464">
              <w:rPr>
                <w:rFonts w:ascii="Times New Roman" w:eastAsia="Times New Roman" w:hAnsi="Times New Roman" w:cs="Times New Roman"/>
                <w:sz w:val="24"/>
                <w:szCs w:val="24"/>
              </w:rPr>
              <w:t>. В сентябре 2018 года проведен II Слет УПБ на базе МБОУ Шилово-Курьинской СОШ. Профильная смена для учащихся инженерных классов областного проекта «Инженерная компетентность – сила развития Родины» «Карасукская Инженерная Школа»</w:t>
            </w:r>
            <w:r w:rsidR="00B769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17B" w:rsidRPr="007F017B" w:rsidTr="002866C9">
        <w:trPr>
          <w:trHeight w:val="321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информационно-методической поддержки по вопросам дополнительного образования – создание консультационных пунктов для родителей по вопросам дополнительного образования.</w:t>
            </w: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952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227464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 xml:space="preserve"> целях реализации на территории Карасукского района  мероприятий  проекта «Доступное дополнительное образование для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 xml:space="preserve"> опорн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 xml:space="preserve"> центр дополнительного образования 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Карасукского района от</w:t>
            </w:r>
            <w:r w:rsidR="0028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>26.12.2018 №</w:t>
            </w:r>
            <w:r w:rsidR="00286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>3850-п «О создании муниципального опорного центра дополнительного образования 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Pr="00371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оказывает информационно-методическую поддержку по вопросам дополнительного образования.</w:t>
            </w:r>
          </w:p>
        </w:tc>
      </w:tr>
      <w:tr w:rsidR="007F017B" w:rsidRPr="007F017B" w:rsidTr="00342C46">
        <w:trPr>
          <w:trHeight w:val="242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Потребительский рынок</w:t>
            </w:r>
          </w:p>
        </w:tc>
      </w:tr>
      <w:tr w:rsidR="00012C7F" w:rsidRPr="007F017B" w:rsidTr="002866C9">
        <w:trPr>
          <w:trHeight w:val="314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консультативной и методологической помощи субъектам потребительского рынка по вопросам потребительского рынка.  Размещение в сети Интернет информационно-аналитических материалов  в сфере потребительского рынка.  Ведение на сайте администрации района раздела «Малое и среднее предпринимательство» и «Потребительский рынок». 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CF521E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8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Оказано</w:t>
            </w:r>
            <w:r w:rsidR="008F1169" w:rsidRPr="003E4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D8E" w:rsidRPr="003E4D8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3E4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субъектам малого и среднего предпринимательства (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далее - СМиСП) по вопросам потребительского рынка и оказания финансовой поддержки. </w:t>
            </w:r>
          </w:p>
          <w:p w:rsidR="007F017B" w:rsidRPr="007F017B" w:rsidRDefault="00843F7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F76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разделе «Малое и среднее предпринимательство» обновлен реестр получателей поддержки, размещена актуальная редакция Муниципальной программы  «Развитие субъектов СМиСП в Карасукском районе Новосибирской области на 2018-2020 годы», актуальная схема размещения нестационарных торговых объектов,  размещены протоколы заседаний совета по содействию малому и среднему предпринимательству района.  Ежемесячно обновлялась информация в разделе «Потребительский рынок» о средних розничных ценах на отдельные потребительские товары.</w:t>
            </w:r>
          </w:p>
        </w:tc>
      </w:tr>
      <w:tr w:rsidR="00012C7F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совещаний, круглых столов, конференций по проблемам сферы торговли и услуг.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 2 раз  в год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2A75E0" w:rsidRDefault="002A75E0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5E0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Проведены </w:t>
            </w:r>
            <w:r w:rsidR="0093107C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ежеквартальные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встречи Гл</w:t>
            </w:r>
            <w:r w:rsidR="002A75E0">
              <w:rPr>
                <w:rFonts w:ascii="Times New Roman" w:eastAsia="Times New Roman" w:hAnsi="Times New Roman" w:cs="Times New Roman"/>
                <w:sz w:val="24"/>
                <w:szCs w:val="24"/>
              </w:rPr>
              <w:t>авы района с бизнес-сообществом (15.03.2018, 25.05.2018, 18.10.2018, 10.04.2018).</w:t>
            </w:r>
          </w:p>
        </w:tc>
      </w:tr>
      <w:tr w:rsidR="00012C7F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проведение конкурсов  профессионального мастерства среди работников сферы потребительского рынка и услуг.  Обеспечение участия представителей предпринимательства района в конкурсах профессионального мастерства, проводимых на территории области. Организация и проведение выставок  товаров и услуг с участием  СМиСП района.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C2775C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69" w:rsidRPr="008F1169" w:rsidRDefault="008F1169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Осуществлялась поддержка представителям бизнеса района для участия:</w:t>
            </w:r>
          </w:p>
          <w:p w:rsidR="008F1169" w:rsidRPr="008F1169" w:rsidRDefault="008F1169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командных соревнованиях «Весенний кулинарный кубок», проходивших в рамках выставки оборудования и товаров для оснащения предприятий общественного питания FoodServiceSiberia, в номинации – тематический стол «Национальная кухня» (КППО «Общественное питание»);</w:t>
            </w:r>
          </w:p>
          <w:p w:rsidR="008F1169" w:rsidRPr="008F1169" w:rsidRDefault="008F1169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в VIII Конкурсе профессионального мастерства парикмахерского искусства, ногтевого сервиса и визажа «Золотой локон» (ИП Зирина Виктория победила в специализации – Мастера по маникюру, моделированию и дизайну ногтей, номинация «Нейл – постер»);</w:t>
            </w:r>
          </w:p>
          <w:p w:rsidR="008F1169" w:rsidRPr="008F1169" w:rsidRDefault="008F1169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конкурсе «Золотой каравай», проходившем в рамках III Новосибирского агропродовольственного форума (ООО «Пекарня Карасук», предприниматели Горбатенко Ульяна Анатольевна и Буяльская Марина Петровна)</w:t>
            </w:r>
          </w:p>
          <w:p w:rsidR="007F017B" w:rsidRPr="007F017B" w:rsidRDefault="008F1169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в региональном</w:t>
            </w:r>
            <w:r w:rsidR="00AD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этапе</w:t>
            </w:r>
            <w:r w:rsidR="00AD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Национальной премии в области предпринимательской деятельности «Золотой Меркурий» (индивидуальные предприниматели Алексеева</w:t>
            </w:r>
            <w:r w:rsidR="00AD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Сергеевна (Арт-клуб «LittleLand») и Бузмакова Ольга Григорьевна (Салон красоты «Фифа») – лауреаты</w:t>
            </w:r>
            <w:r w:rsidR="00AD6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1169">
              <w:rPr>
                <w:rFonts w:ascii="Times New Roman" w:eastAsia="Times New Roman" w:hAnsi="Times New Roman" w:cs="Times New Roman"/>
                <w:sz w:val="24"/>
                <w:szCs w:val="24"/>
              </w:rPr>
              <w:t>II премии в номинации «Лучшее малое предприятие в сфере услуг»).</w:t>
            </w:r>
          </w:p>
        </w:tc>
      </w:tr>
      <w:tr w:rsidR="00012C7F" w:rsidRPr="007F017B" w:rsidTr="002866C9">
        <w:trPr>
          <w:trHeight w:val="313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оптово-розничных универсальных  ярмарок.  Обеспечение участия  товаропроизводителей  района в  оптово-розничных универсальных ярмарках на территории области.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проведения ярмарок, утверждаемым Министер-ством промыш-ленности, торговли и развития предприни-мательства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проведения ярмарок, утверждаемым Министер-ством промышлен-ности, торговли и развития предприни-мательства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25" w:rsidRPr="007F017B" w:rsidRDefault="00D1138F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8F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Хозяйствующие субъекты  участвовали в  12 оптово-розничных ярмарках, проводимых на территории области, по итогам работы которых, представители района отмечены большими и малыми наградами.</w:t>
            </w:r>
          </w:p>
        </w:tc>
      </w:tr>
      <w:tr w:rsidR="00012C7F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 по обеспечению торговыми местами на ярмарках,  в местах  сезонных и  расширенных продаж   товаропроизводителей в целях реализации собственной продукции. 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шести постоянно действующих торговых площадках предусмотрено более 100 торговых мест для реализации сельхозпродукции личных подсобных и дачных хозяйств. Для размещения объектов нестационарной передвижной и мелкорозничной торговли определено более 50 торговых мест. В  период сезонного сбора урожая  были определены дополнительные места для реализации продукции собственного производства малыми хозяйствами района, владельцами дачных  и личных садоводческих хозяйств.</w:t>
            </w:r>
          </w:p>
        </w:tc>
      </w:tr>
      <w:tr w:rsidR="00012C7F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схемы размещения нестационарных торговых объектов. Мониторинг размещения мелкорозничных торговых объектов на территории района. Содействие </w:t>
            </w: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инфраструктуры торговли.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от 18.07.2017 № 1885-п утверждена схема размещения нестационарных торговых объектов на территории района. Схема размещена  на официальном сайте администрации района в разделе:  Бизнесу/Малое и среднее предпринимательство/Нормативные документы. </w:t>
            </w:r>
          </w:p>
          <w:p w:rsidR="00BD3AFE" w:rsidRPr="007F017B" w:rsidRDefault="00BD3AFE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A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целях упорядочения размещения и функционирования нестационарных торговых объектов внесены изменения в Схему размещения. Осуществлены мероприятия по поиску и согласованию компенсационных мест размещения объектов торговли, рассмотрено 4 заявления хозяйствующих субъектов о включении в Схему торговых объектов. Всего включено 7 объектов,   исключено 10  в связи с проведением  мероприятий по благоустройству и  несоответствием требований к размещению.</w:t>
            </w:r>
          </w:p>
          <w:p w:rsidR="00BD3AFE" w:rsidRDefault="00BD3AFE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Оформлено 67 разрешений на расположение объектов мелкорозничной торговой сети. </w:t>
            </w:r>
          </w:p>
          <w:p w:rsidR="00BD3AFE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Проводился регулярный мониторинг размещения объектов мелкорозничной торговой сети.</w:t>
            </w:r>
            <w:r w:rsidR="00BD3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3AFE" w:rsidRPr="00BD3A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Организовано и проведено 47 рейдовых мероприятий,  направленных на предупреждение и пресечение фактов несанкционированной торговли в неустановленных местах.</w:t>
            </w:r>
          </w:p>
        </w:tc>
      </w:tr>
      <w:tr w:rsidR="00012C7F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мониторинга ценовой ситуации в предприятиях торговли,  на ярмарках и в местах сезонных и расширенных продаж. Содействие торговым  предприятиям  по открытию социально ориентированных объектов торговли.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 с  распоря-жением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Губернатора Новосибир-ской области от 12.08.2014г. № 140-р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распоря-жением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Губернатора Новосибир-ской области от 12.08.2014г. № 140-р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0149DA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9DA">
              <w:rPr>
                <w:rFonts w:ascii="Times New Roman" w:eastAsia="Times New Roman" w:hAnsi="Times New Roman" w:cs="Times New Roman"/>
                <w:sz w:val="24"/>
                <w:szCs w:val="24"/>
              </w:rPr>
              <w:t>На ежемесячной основе проводился мониторинг цен по 24 позициям продовольственных товаров в целях реализации Указа Президента Российской Федерации от 06.08.2014 года № 560 «О применении отдельных специальных экономических мер в целях обеспечения безопасности Российской Федерации» в 9 магазинах и универсальной ярмарке Карасукского райпо. Информация о средних розничных ценах на отдельные потребительские товары размещалась на сайте администрации района.</w:t>
            </w:r>
          </w:p>
        </w:tc>
      </w:tr>
      <w:tr w:rsidR="007F017B" w:rsidRPr="007F017B" w:rsidTr="00342C46">
        <w:trPr>
          <w:trHeight w:val="169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перевозок пассажиров автомобильным транспортом</w:t>
            </w:r>
          </w:p>
        </w:tc>
      </w:tr>
      <w:tr w:rsidR="00342C46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конкурсных процедур по допуску к работе на маршрутах регулярных перевозок пассажиров наземным транспортом.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срока преды-дущего договора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53105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3373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C45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Федеральным законом </w:t>
            </w:r>
            <w:r w:rsidR="00C4556E" w:rsidRPr="00C45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05.04.2013 </w:t>
            </w:r>
            <w:r w:rsidR="00C4556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4556E" w:rsidRPr="00C45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44-ФЗ</w:t>
            </w:r>
            <w:r w:rsidR="00C45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7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 </w:t>
            </w:r>
            <w:r w:rsidR="00F15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аукцион на выполнение работ, связанных с осуществлением регулярных перевозок автомобильным транспортом по регулируемым тарифам на территории города Карасука и Карасукского района в 2019 году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 w:rsidR="00F15E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маршрута).</w:t>
            </w:r>
          </w:p>
        </w:tc>
      </w:tr>
      <w:tr w:rsidR="00342C46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Размещение на официальном сайте</w:t>
            </w:r>
          </w:p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администрации Карасукского района</w:t>
            </w:r>
          </w:p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нормативных правовых актов, </w:t>
            </w: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регулирующих сферу организации перевозок.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BC5910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10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</w:t>
            </w:r>
            <w:r w:rsidR="00BC5910"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 планирования регулярных перевозок пассажиров автомобильным транспортом по муниципальным маршрутам регулярных перевозок на территории города Карасука и 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Карасукского района на 2017-2019 гг.</w:t>
            </w:r>
            <w:r w:rsidR="00BC5910">
              <w:rPr>
                <w:rFonts w:ascii="Times New Roman" w:eastAsia="Times New Roman" w:hAnsi="Times New Roman" w:cs="Times New Roman"/>
                <w:sz w:val="24"/>
                <w:szCs w:val="24"/>
              </w:rPr>
              <w:t>, р</w:t>
            </w:r>
            <w:r w:rsidR="00BC5910" w:rsidRPr="00BC5910">
              <w:rPr>
                <w:rFonts w:ascii="Times New Roman" w:eastAsia="Times New Roman" w:hAnsi="Times New Roman" w:cs="Times New Roman"/>
                <w:sz w:val="24"/>
                <w:szCs w:val="24"/>
              </w:rPr>
              <w:t>еестр муниципальных автобусных маршрутов регулярных перевозок на территории Карасукского района Новосибирской области</w:t>
            </w:r>
            <w:r w:rsidR="00BC59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17B" w:rsidRPr="007F017B" w:rsidTr="00342C46">
        <w:trPr>
          <w:trHeight w:val="65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Рынок услуг жилищно-коммунальной сферы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конкурсных процедур по отбору управляющей компании для многоквартирных домов.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Постоянно, в течение 30-ти дней с даты ввода в эксплуатацию многоквартирного жилого дома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96" w:rsidRPr="002866C9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866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23.11.2018 заключен договор управления многоквартирным домом по улице Кутузова 36Б, с ООО «Магистраль-Н».</w:t>
            </w:r>
          </w:p>
          <w:p w:rsidR="00F77396" w:rsidRPr="002866C9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F017B" w:rsidRPr="002866C9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Осуществление мероприятий по муниципальному жилищному контролю. 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утвержденным Планом, по обращению граждан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2866C9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6C9">
              <w:rPr>
                <w:rFonts w:ascii="Times New Roman" w:hAnsi="Times New Roman" w:cs="Times New Roman"/>
                <w:sz w:val="24"/>
                <w:szCs w:val="24"/>
              </w:rPr>
              <w:t>07.11.2018 проведена внеплановая документарная проверка в отношении ООО «Магистраль-Н», нарушений не выявлено.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Формирование, утверждение и размещение в информационно-телекоммуникационной сети Интернет перечня объектов жилищно-коммунального хозяйства неэффективно управляемых муниципальных предприятий, в отношении которых планируется заключение концессионных соглашений. 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2017-2018гг.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районе отсутствуют неэффективно-управляемые муниципальные предприятия.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Проведение конкурса и заключение концессионных соглашений на объекты жилищно-коммунального хозяйства неэффективно управляемые муниципальными </w:t>
            </w: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предприятиями Карасукского района Новосибирской области, осуществляющих деятельность в сфере жилищно-коммунального хозяйства.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2016-2018гг.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районе отсутствуют неэффективно-управляемые муниципальные предприятия.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своевременного и полного размещения информации в  государственной информационной системе жилищно-коммунального хозяйства, подлежащей раскрытию в соответствии с требованиями законодательства РФ.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С 01.07.2016г.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773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государственную информационную систему ГИС «ЖКХ» внесена информация:</w:t>
            </w:r>
          </w:p>
          <w:p w:rsidR="00F77396" w:rsidRPr="00F77396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77396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проведённой проверке в рамках 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жилищного контроля;</w:t>
            </w:r>
          </w:p>
          <w:p w:rsidR="00F77396" w:rsidRDefault="00F77396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7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открытого конкурса по отбору управляющей организации</w:t>
            </w:r>
            <w:r w:rsidR="006A1E7C"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многоквартирного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подготовке объектов жилищно-коммунального хозяйства к сезонной эксплуатации;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</w:t>
            </w:r>
            <w:r w:rsidR="006A1E7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  <w:r w:rsidR="006A1E7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сфере жилищно-коммунального хозяйства.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817D88" w:rsidRDefault="007F017B" w:rsidP="00B5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Оформление прав собственности на объекты жилищно-коммунального хозяйства.</w:t>
            </w:r>
          </w:p>
        </w:tc>
        <w:tc>
          <w:tcPr>
            <w:tcW w:w="5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2016-2017гг.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817D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Проведена государственная регистрация объектов ЖКХ.</w:t>
            </w:r>
          </w:p>
          <w:p w:rsidR="007F017B" w:rsidRPr="007F017B" w:rsidRDefault="001A674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2018 год в муниципальную собственность оформлены: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котельных, 4 скважины, 1 КНС, 16,82км. тепловых сетей, 51,45км. водопроводных сетей.</w:t>
            </w:r>
          </w:p>
        </w:tc>
      </w:tr>
      <w:tr w:rsidR="007F017B" w:rsidRPr="007F017B" w:rsidTr="00342C46">
        <w:trPr>
          <w:trHeight w:val="65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Рынок услуг в сфере культуры</w:t>
            </w: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площадок на базе муниципальных объектов культуры для проведения мероприятий (отчетных концертов) негосударственным организациям.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по мере поступления  обращений от негосударственных организаций, предоставляющих услуги в сфере культуры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8350BC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35" w:rsidRPr="00CE1F35" w:rsidRDefault="00CE1F35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08.01</w:t>
            </w:r>
            <w:r w:rsidR="00B717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E1F35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CE1F3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концерт студии танца и фитнеса «Сингл» в рамкам проведения районного Рождественского фестиваля искусств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017B" w:rsidRPr="007F017B" w:rsidRDefault="00CE1F35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79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280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E1F3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концерт танцевальной студии «Беби Данс»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7F017B" w:rsidTr="002866C9">
        <w:trPr>
          <w:trHeight w:val="65"/>
        </w:trPr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 участию негосударственных организаций в сфере культуры к проведению культурно-массовых мероприятий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по мере поступления  обращений от негосудар-ственных организаций, предоставля-ющих услуги в сфере культуры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12C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C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 негосударственные организации, предоставляющие услуги в сфере культуры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студи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«Беби Данс»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танца и фитнеса «Сингл»)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привлекаются к участию в проведении культурно-массовых мероприятий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. В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году: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гуляние «Масленица»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детского вокального и хореографическо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искусства «Весенняя капель»,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Праздничные вечерние мероприятия 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Дню Победы,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Детства ко Дню защиты детей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молодежи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Праздничные мероприятия, посвященные Дню города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Чествование молодых специалистов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50BC" w:rsidRP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молодежного творчества «Город зажигает звезды»</w:t>
            </w:r>
            <w:r w:rsidR="008350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17B" w:rsidRPr="007F017B" w:rsidTr="00342C46">
        <w:trPr>
          <w:trHeight w:val="65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мероприятия, направленные на развитие конкурентной среды в Карасукском районе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2C58CC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результатов мониторинга качества и доступности предоставления муниципальных и переданных государственных услуг в Новосибирской области на комиссии по повышению качества и доступности предоставления муниципальных услуг.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87D8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F4" w:rsidRPr="00970FF4" w:rsidRDefault="00970FF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2018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проведено</w:t>
            </w:r>
            <w:r w:rsidRPr="00970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заседания комиссии по повышению качества предоставления муниципальных услуг с участием руководителей структурных подразделений администрации района по вопросу достижения показателей муниципальных услуг в Карасукском районе, оказанных в электронной форме в целях исполнения распоряжения Правительства Новосибирской области  от 06.02.2018 № 49-рп «Об увеличении доли государственных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0FF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услуг в Новосибирской области, оказанных в электронной форме».</w:t>
            </w:r>
          </w:p>
          <w:p w:rsidR="007F017B" w:rsidRPr="007F017B" w:rsidRDefault="00970FF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</w:t>
            </w:r>
            <w:r w:rsidRPr="00970FF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70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и доступности предоставления государственных и муниципальных услуг в Новосибирской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комиссии не рассматривались ввиду отсутствия на сайте Минэкономразвития НСО отчета о  проведении мониторинга.</w:t>
            </w:r>
          </w:p>
        </w:tc>
      </w:tr>
      <w:tr w:rsidR="007F017B" w:rsidRPr="007F017B" w:rsidTr="00B51958">
        <w:trPr>
          <w:trHeight w:val="3376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процедуры оценки регулирующего воздействия проектов и экспертизы действующих муниципальных правовых актов в целях  исключения положений, необоснованно затрудняющих осуществление предпринимательской и инвестиционной деятельности.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выявления положений, затрудняющих ведение предпринимательской и инвестиционной деятельности, проводятся процедуры оценки регулирующего воздействия проектов и экспертизы действующих муниципальных актов.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DB13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проведена оценка </w:t>
            </w:r>
            <w:r w:rsidR="00DB1379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и экспертиза </w:t>
            </w:r>
            <w:r w:rsidR="00DB1379">
              <w:rPr>
                <w:rFonts w:ascii="Times New Roman" w:eastAsia="Times New Roman" w:hAnsi="Times New Roman" w:cs="Times New Roman"/>
                <w:sz w:val="24"/>
                <w:szCs w:val="24"/>
              </w:rPr>
              <w:t>пяти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действующих муниципальных правовых актов. По результатам данных процедур выявлено </w:t>
            </w:r>
            <w:r w:rsidR="00DB137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положений затрудняющих предпринимательскую и инвестиционную деятельность.</w:t>
            </w:r>
          </w:p>
          <w:p w:rsid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</w:t>
            </w:r>
            <w:r w:rsidR="00DB137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при оценке регулирующего воздействия осуществлялись с использованием портала «Электронная демократия Новосибирской области» и во взаимодействии с представителями предпринимательского сообщества.</w:t>
            </w:r>
          </w:p>
          <w:p w:rsidR="000837B4" w:rsidRPr="000837B4" w:rsidRDefault="000837B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Принималось активное участие в публичных консультациях при процедурах оценки и экспертизе региональных правовых актов,  проводимых Министерством экономического развития, при этом большая часть предложений района была учтена при подготовке заключений. За 2018 год принято участие в публичных консультациях по 8 региональным правовым актам: направлено 8 предложений и замечаний, 7 из которых включены в перечень рекомендаций разработчикам.</w:t>
            </w:r>
          </w:p>
          <w:p w:rsidR="000837B4" w:rsidRPr="000837B4" w:rsidRDefault="000837B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B4">
              <w:rPr>
                <w:rFonts w:ascii="Times New Roman" w:eastAsia="Times New Roman" w:hAnsi="Times New Roman" w:cs="Times New Roman"/>
                <w:sz w:val="24"/>
                <w:szCs w:val="24"/>
              </w:rPr>
              <w:t>С 2018 года Минэкономразвития НСО привлекает органы местного самоуправления к участию в публичных консультациях в рамках оценки регулирующего воздействия</w:t>
            </w:r>
            <w:r w:rsidR="00555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37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проектов</w:t>
            </w:r>
            <w:r w:rsidR="00555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3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федеральных нормативных правовых актов. За прошедший год рассмотрено и выражено мнение по 5 проектам федеральных правовых актов. </w:t>
            </w:r>
          </w:p>
          <w:p w:rsidR="000837B4" w:rsidRPr="007F017B" w:rsidRDefault="000837B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B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данным системного мониторинга развития оценки регулирующего воздействия  на муниципальном уровне - район занимает лидирующую позицию среди районов и городских округов области.</w:t>
            </w:r>
          </w:p>
        </w:tc>
      </w:tr>
      <w:tr w:rsidR="00B51958" w:rsidRPr="007F017B" w:rsidTr="00B51958">
        <w:trPr>
          <w:trHeight w:val="3376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958">
              <w:rPr>
                <w:rFonts w:ascii="Times New Roman" w:eastAsia="Times New Roman" w:hAnsi="Times New Roman" w:cs="Times New Roman"/>
              </w:rPr>
              <w:lastRenderedPageBreak/>
              <w:t>24.1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изменений  в порядок проведения экспертизы муниципальных нормативных правовых актов органов местного самоуправления Карасукского района Новосибирской области,  затрагивающих вопросы осуществления предпринимательской и инвестиционной деятельности, в части необходимости анализа правового 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наличие положений, ограничивающих конкуренцию.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экономического развития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01.11.2018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7F017B" w:rsidRDefault="00B51958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Решением сессии  Совета депутатов Карасукского района от 18.10.2018 № 242 в порядок проведения оценки регулирующего воздействия проектов муниципальных нормативных правовых актов Карасукского района, порядок проведения экспертизы муниципальных нормативных правовых актов Карасукского района Новосибирской области, затрагивающих вопросы осуществления предпринимательской и инвестиционной деятельности, включены пункты касающиеся необходимости анализа правового акта на наличие положений, ограничивающих конкуренцию.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актуальной информации для предпринимательского сообщества на официальном сайте Карасукского района.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8D448C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официальном сайте администрации размешалась информация для СМиСП о финансовой поддержки, о проведении обучающих семинаров и курсов, конкурсах профессионального мастерства, форумах, о проведении ярмарок, о переход на электронную ветеринарную сертификацию и тд. Размещено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8D4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сообщений.</w:t>
            </w:r>
            <w:r w:rsidR="007F017B"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информационной и финансовой поддержки субъектам малого и среднего предпринимательства в рамках реализации государственных и  муниципальных программ. 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информационной поддержки  СМиСП по вопросам предоставления субсидий в рамках реализации Государственной и Муниципальной программам «Развитие СМиСП» (консультации, предоставление перечня необходимых для получения субсидий документов).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процесса предоставления муниципальных услуг для субъектов предпринимательской деятельности путем использования при разработке  нормативно-правовой базы типовых (рекомендованных) административных регламентов предоставления муниципальных услуг.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301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C6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9301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  <w:r w:rsidR="009301C6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приведения в соответствие с законодательством и типовым регламентом внесены изменения в 29 административных регламентов, 12 - приняты в новой редакции.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работы по размещению актуальной информации в СМИ о проведении конкурсного отбора крестьянских (фермерских) хозяйств в Новосибирской области на право получения государственной поддержки, на создание и развитие крестьянских (фермерских) хозяйств.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2016-2020 гг.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D3A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проведении Министерством сельского хозяйства Новосибирской области конкурсного отбора крестьянских (фермерских) хозяйств в Новосибирской области на право получения государственной поддержки была направлена Главам сельских поселений района для доведения  крестьянским (фермерским) хозяйствам.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муниципального имущества для размещения аттракционов, батутов, передвижных цирков и зоопарков, а также другое развлекательное оборудование, на условиях и в порядке утвержденном постановлением администрации Карасукского района от 10.05.2016 № 1304-п.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Заключены 2 договора  о размещении аттракционов, батутов, передвижных цирков и зоопарков, а также другого развлекательного оборудования на территории города Карасука Карасукского района Новосибирской области от 0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1, от 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="00E13E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на предоставление субсидии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654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2654B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4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конкурс социально значимых проектов по поддержке инициатив деятельности территориальных общественных самоуправлений в районе.  Денежные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размере 850 тыс.руб. выделены</w:t>
            </w:r>
            <w:r w:rsidRPr="00265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победителям проектов.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8184A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мониторинга доли закупок для обеспечения муниципальных нужд у субъектов малого и среднего предпринимательства.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85048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7A" w:rsidRDefault="00CE7A7A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A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Подведомственным ОМСУ заказчикам доведена информация о необходимости обеспечения достижения целевого показателя, проведены совещания, организован ежеквартальный мониторинг выполнения показателя.</w:t>
            </w:r>
          </w:p>
          <w:p w:rsidR="00CE7A7A" w:rsidRDefault="0085048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Осуществлялся ежеквартальный мониторинг осуществления закупок подведомственными заказчиками.</w:t>
            </w:r>
            <w:r w:rsidR="00CE7A7A">
              <w:t xml:space="preserve"> </w:t>
            </w:r>
          </w:p>
          <w:p w:rsidR="007F017B" w:rsidRPr="007F017B" w:rsidRDefault="00850484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5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закупок у субъектов малого и среднего предпринимательства (включая закупки, участниками которых являются любые лица, в том </w:t>
            </w:r>
            <w:r w:rsidRPr="008504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 стоимостном объеме закупок, осуществляемых в соответствии с Федеральным законом от 18.07.2011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5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223-ФЗ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50484">
              <w:rPr>
                <w:rFonts w:ascii="Times New Roman" w:eastAsia="Times New Roman" w:hAnsi="Times New Roman" w:cs="Times New Roman"/>
                <w:sz w:val="24"/>
                <w:szCs w:val="24"/>
              </w:rPr>
              <w:t>О закупках товаров, работ, услуг отдельными видами юридических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80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составила 14,56%</w:t>
            </w:r>
          </w:p>
        </w:tc>
      </w:tr>
      <w:tr w:rsidR="007F017B" w:rsidRPr="007F017B" w:rsidTr="00B51958">
        <w:trPr>
          <w:trHeight w:val="65"/>
        </w:trPr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C514B0" w:rsidRDefault="007F017B" w:rsidP="00B51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818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и норм законодательства при осуществлении закупок для обеспечения муниципальных нужд, в целях увеличения числа участников конкурентных процедур определения поставщиков (подрядчиков, исполнителей).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7B" w:rsidRPr="007F017B" w:rsidRDefault="007F017B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1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7A" w:rsidRDefault="00CE7A7A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A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Подведомственным ОМСУ заказчикам доведена информация о необходимости обеспечения достижения целевого показателя, проведены совещания, организован ежеквартальный мониторинг выполнения показателя.</w:t>
            </w:r>
          </w:p>
          <w:p w:rsidR="0018014A" w:rsidRDefault="0018014A" w:rsidP="00B51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Осуществлялся ежеквартальный мониторинг осуществления закупок подведомственными заказчиками.</w:t>
            </w:r>
          </w:p>
          <w:p w:rsidR="007F017B" w:rsidRPr="007F017B" w:rsidRDefault="0018014A" w:rsidP="00B51958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8014A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реднее число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составило - 2,19.</w:t>
            </w:r>
          </w:p>
        </w:tc>
      </w:tr>
      <w:tr w:rsidR="00B51958" w:rsidRPr="00B51958" w:rsidTr="00221857">
        <w:trPr>
          <w:trHeight w:val="3302"/>
        </w:trPr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95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A258EA">
            <w:pPr>
              <w:tabs>
                <w:tab w:val="left" w:pos="1080"/>
              </w:tabs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сведений о нарушениях антимонопольного законодательства органами местного самоуправления района в целях исполнения пп.«б» п.1 Национального плана развития конкуренции в Российской Федерации на 2018-2020 годы, утвержденного Указом Президента Российской Федерации от 21.12.2017 № 618 «Об основных направлениях государственной политики по развитию конкуренции».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tabs>
                <w:tab w:val="left" w:pos="1080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до 01 февраля года, следующего за отчетным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Pr="00B51958" w:rsidRDefault="00B51958" w:rsidP="00B51958">
            <w:pPr>
              <w:tabs>
                <w:tab w:val="left" w:pos="1080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58" w:rsidRDefault="00C44CC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данным интернет-ресурса Б</w:t>
            </w:r>
            <w:r w:rsidRPr="00C44CC7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44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решений ФАС (</w:t>
            </w:r>
            <w:hyperlink r:id="rId4" w:history="1">
              <w:r w:rsidRPr="009B177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http://solutions.fas.gov.ru/</w:t>
              </w:r>
            </w:hyperlink>
            <w:r w:rsidRPr="00C44C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снижение числа </w:t>
            </w:r>
            <w:r w:rsidR="00221857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антимонопольного законодательства администрацией района составило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21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2017 год - 3, за 2018 - 1.</w:t>
            </w: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857" w:rsidRPr="00B51958" w:rsidRDefault="00221857" w:rsidP="00221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4BBD" w:rsidRPr="009D4BBD" w:rsidRDefault="009D4BBD" w:rsidP="00B51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4BBD" w:rsidRPr="009D4BBD" w:rsidSect="007A157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EJf9RyVAAthTfsJld0JxJvOGNKU=" w:salt="tYYYL3JkMVVhqdhMfEUFqQ=="/>
  <w:defaultTabStop w:val="708"/>
  <w:drawingGridHorizontalSpacing w:val="110"/>
  <w:displayHorizontalDrawingGridEvery w:val="2"/>
  <w:characterSpacingControl w:val="doNotCompress"/>
  <w:compat>
    <w:useFELayout/>
  </w:compat>
  <w:rsids>
    <w:rsidRoot w:val="009D4BBD"/>
    <w:rsid w:val="0000086B"/>
    <w:rsid w:val="00012C7F"/>
    <w:rsid w:val="000149DA"/>
    <w:rsid w:val="00023EFB"/>
    <w:rsid w:val="00033D39"/>
    <w:rsid w:val="0004572B"/>
    <w:rsid w:val="000837B4"/>
    <w:rsid w:val="00087D89"/>
    <w:rsid w:val="00092AA7"/>
    <w:rsid w:val="000952B5"/>
    <w:rsid w:val="000B17B7"/>
    <w:rsid w:val="000C54DD"/>
    <w:rsid w:val="00100605"/>
    <w:rsid w:val="0016360E"/>
    <w:rsid w:val="001638A7"/>
    <w:rsid w:val="0018014A"/>
    <w:rsid w:val="001A0C7A"/>
    <w:rsid w:val="001A6744"/>
    <w:rsid w:val="001D04EB"/>
    <w:rsid w:val="00221857"/>
    <w:rsid w:val="00227464"/>
    <w:rsid w:val="002654B4"/>
    <w:rsid w:val="002866C9"/>
    <w:rsid w:val="002A75E0"/>
    <w:rsid w:val="002C3449"/>
    <w:rsid w:val="002C58CC"/>
    <w:rsid w:val="002E2D09"/>
    <w:rsid w:val="002F0AC7"/>
    <w:rsid w:val="002F1281"/>
    <w:rsid w:val="0030332E"/>
    <w:rsid w:val="003060B1"/>
    <w:rsid w:val="00330305"/>
    <w:rsid w:val="003373E8"/>
    <w:rsid w:val="00342C46"/>
    <w:rsid w:val="00360EF1"/>
    <w:rsid w:val="00382C9F"/>
    <w:rsid w:val="003916E3"/>
    <w:rsid w:val="003E4D8E"/>
    <w:rsid w:val="003F7B9D"/>
    <w:rsid w:val="004024B6"/>
    <w:rsid w:val="004643D5"/>
    <w:rsid w:val="00464982"/>
    <w:rsid w:val="004756E2"/>
    <w:rsid w:val="00487DF8"/>
    <w:rsid w:val="004B5C31"/>
    <w:rsid w:val="004B66E2"/>
    <w:rsid w:val="004C0D59"/>
    <w:rsid w:val="004E45FA"/>
    <w:rsid w:val="00531056"/>
    <w:rsid w:val="0053626E"/>
    <w:rsid w:val="00550BE7"/>
    <w:rsid w:val="00555428"/>
    <w:rsid w:val="005633B4"/>
    <w:rsid w:val="00570465"/>
    <w:rsid w:val="005A630E"/>
    <w:rsid w:val="005B6E7A"/>
    <w:rsid w:val="005D07DE"/>
    <w:rsid w:val="00614E7E"/>
    <w:rsid w:val="0063205A"/>
    <w:rsid w:val="006645AB"/>
    <w:rsid w:val="006A1AA9"/>
    <w:rsid w:val="006A1E7C"/>
    <w:rsid w:val="006A4F11"/>
    <w:rsid w:val="0071663D"/>
    <w:rsid w:val="00726FB9"/>
    <w:rsid w:val="00747CDF"/>
    <w:rsid w:val="00783533"/>
    <w:rsid w:val="007A157F"/>
    <w:rsid w:val="007F017B"/>
    <w:rsid w:val="00815DF8"/>
    <w:rsid w:val="00817D88"/>
    <w:rsid w:val="008350BC"/>
    <w:rsid w:val="00843F76"/>
    <w:rsid w:val="00850484"/>
    <w:rsid w:val="0085388A"/>
    <w:rsid w:val="008655A1"/>
    <w:rsid w:val="00882BC2"/>
    <w:rsid w:val="00893962"/>
    <w:rsid w:val="008D448C"/>
    <w:rsid w:val="008D58C0"/>
    <w:rsid w:val="008E4FCB"/>
    <w:rsid w:val="008F1169"/>
    <w:rsid w:val="00904419"/>
    <w:rsid w:val="009301C6"/>
    <w:rsid w:val="0093102E"/>
    <w:rsid w:val="0093107C"/>
    <w:rsid w:val="00935841"/>
    <w:rsid w:val="00947325"/>
    <w:rsid w:val="00950D1F"/>
    <w:rsid w:val="00970FF4"/>
    <w:rsid w:val="009B21A7"/>
    <w:rsid w:val="009D4BBD"/>
    <w:rsid w:val="009F1222"/>
    <w:rsid w:val="009F595E"/>
    <w:rsid w:val="00A258EA"/>
    <w:rsid w:val="00A40382"/>
    <w:rsid w:val="00A40392"/>
    <w:rsid w:val="00A55F2B"/>
    <w:rsid w:val="00AA6E59"/>
    <w:rsid w:val="00AD2A4C"/>
    <w:rsid w:val="00AD6FA8"/>
    <w:rsid w:val="00AD7E4D"/>
    <w:rsid w:val="00AE289E"/>
    <w:rsid w:val="00B03FF3"/>
    <w:rsid w:val="00B20B3F"/>
    <w:rsid w:val="00B50FDF"/>
    <w:rsid w:val="00B51219"/>
    <w:rsid w:val="00B51958"/>
    <w:rsid w:val="00B67E1F"/>
    <w:rsid w:val="00B7173D"/>
    <w:rsid w:val="00B76994"/>
    <w:rsid w:val="00BA67F4"/>
    <w:rsid w:val="00BC5910"/>
    <w:rsid w:val="00BD3AFE"/>
    <w:rsid w:val="00BE30F3"/>
    <w:rsid w:val="00BF4144"/>
    <w:rsid w:val="00BF621D"/>
    <w:rsid w:val="00C20A29"/>
    <w:rsid w:val="00C2775C"/>
    <w:rsid w:val="00C44CC7"/>
    <w:rsid w:val="00C4556E"/>
    <w:rsid w:val="00C514B0"/>
    <w:rsid w:val="00C8184A"/>
    <w:rsid w:val="00C82E69"/>
    <w:rsid w:val="00CC41AF"/>
    <w:rsid w:val="00CE1F35"/>
    <w:rsid w:val="00CE7A7A"/>
    <w:rsid w:val="00CF521E"/>
    <w:rsid w:val="00D1138F"/>
    <w:rsid w:val="00D228ED"/>
    <w:rsid w:val="00D95725"/>
    <w:rsid w:val="00DB1379"/>
    <w:rsid w:val="00DB5792"/>
    <w:rsid w:val="00DD1466"/>
    <w:rsid w:val="00DE4AA6"/>
    <w:rsid w:val="00E116D7"/>
    <w:rsid w:val="00E13E87"/>
    <w:rsid w:val="00E81CD4"/>
    <w:rsid w:val="00E81F3A"/>
    <w:rsid w:val="00EE678A"/>
    <w:rsid w:val="00F15E60"/>
    <w:rsid w:val="00F26976"/>
    <w:rsid w:val="00F472A7"/>
    <w:rsid w:val="00F77396"/>
    <w:rsid w:val="00FF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57F"/>
    <w:pPr>
      <w:ind w:left="720"/>
      <w:contextualSpacing/>
    </w:pPr>
  </w:style>
  <w:style w:type="character" w:customStyle="1" w:styleId="0pt">
    <w:name w:val="Основной текст + Интервал 0 pt"/>
    <w:uiPriority w:val="99"/>
    <w:rsid w:val="00B20B3F"/>
    <w:rPr>
      <w:rFonts w:ascii="Times New Roman" w:hAnsi="Times New Roman" w:cs="Times New Roman" w:hint="default"/>
      <w:b/>
      <w:bCs/>
      <w:strike w:val="0"/>
      <w:dstrike w:val="0"/>
      <w:spacing w:val="-3"/>
      <w:sz w:val="18"/>
      <w:szCs w:val="18"/>
      <w:u w:val="none"/>
      <w:effect w:val="none"/>
    </w:rPr>
  </w:style>
  <w:style w:type="paragraph" w:customStyle="1" w:styleId="ConsPlusNormal">
    <w:name w:val="ConsPlusNormal"/>
    <w:qFormat/>
    <w:rsid w:val="00835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C44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lutions.fa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12</Pages>
  <Words>3621</Words>
  <Characters>20641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120</cp:revision>
  <cp:lastPrinted>2019-01-25T02:37:00Z</cp:lastPrinted>
  <dcterms:created xsi:type="dcterms:W3CDTF">2019-01-23T09:20:00Z</dcterms:created>
  <dcterms:modified xsi:type="dcterms:W3CDTF">2019-02-08T02:28:00Z</dcterms:modified>
</cp:coreProperties>
</file>