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BE" w:rsidRPr="007E6EBE" w:rsidRDefault="007E6EBE" w:rsidP="002238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</w:t>
      </w:r>
      <w:r w:rsidRPr="007E6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2238FD" w:rsidRPr="002238FD" w:rsidRDefault="002238FD" w:rsidP="002238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 («Российская газета» 1993г № 237);</w:t>
      </w:r>
    </w:p>
    <w:p w:rsidR="002238FD" w:rsidRPr="002238FD" w:rsidRDefault="002238FD" w:rsidP="00223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Гражданским кодексом Российской Федерации, первоначальный текст документа опубликован в «Собрании законодательства РФ», 05.12.1994, № 32, ст. 3301, «Российская газета» №№ 238-239, от 08.09.1994;</w:t>
      </w:r>
    </w:p>
    <w:p w:rsidR="002238FD" w:rsidRPr="002238FD" w:rsidRDefault="002238FD" w:rsidP="002238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Градостроительным кодексом Российской Федерации от 29.12.2004 № 190 – </w:t>
      </w:r>
      <w:proofErr w:type="gramStart"/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>ФЗ  (</w:t>
      </w:r>
      <w:proofErr w:type="gramEnd"/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текст документа опубликован в изданиях «Российская газета», </w:t>
      </w:r>
      <w:r w:rsidRPr="00223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290, 30.12.2004; «Собрание законодательства РФ», 03.01.2005, </w:t>
      </w:r>
      <w:r w:rsidRPr="00223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(часть 1), ст. 16; «Парламентская газета», </w:t>
      </w:r>
      <w:r w:rsidRPr="00223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5-6, 14.01.2005);</w:t>
      </w:r>
    </w:p>
    <w:p w:rsidR="002238FD" w:rsidRPr="002238FD" w:rsidRDefault="002238FD" w:rsidP="00223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2238FD" w:rsidRPr="002238FD" w:rsidRDefault="002238FD" w:rsidP="00223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2238FD" w:rsidRPr="002238FD" w:rsidRDefault="002238FD" w:rsidP="00223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(Собрание законодательства Российской Федерации, № 38, 20.09.2010, ст.4823);</w:t>
      </w:r>
    </w:p>
    <w:p w:rsidR="002238FD" w:rsidRPr="002238FD" w:rsidRDefault="002238FD" w:rsidP="002C29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29A9">
        <w:rPr>
          <w:rFonts w:ascii="Times New Roman" w:hAnsi="Times New Roman" w:cs="Times New Roman"/>
          <w:sz w:val="28"/>
          <w:szCs w:val="28"/>
        </w:rPr>
        <w:t>Приказом Минстроя России от 25.04.2017 № 741/</w:t>
      </w:r>
      <w:proofErr w:type="spellStart"/>
      <w:r w:rsidR="002C29A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2C29A9">
        <w:rPr>
          <w:rFonts w:ascii="Times New Roman" w:hAnsi="Times New Roman" w:cs="Times New Roman"/>
          <w:sz w:val="28"/>
          <w:szCs w:val="28"/>
        </w:rPr>
        <w:t xml:space="preserve"> "Об утверждении формы градостроительного плана земельного участка и порядка ее заполнения"</w:t>
      </w: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38FD" w:rsidRPr="002238FD" w:rsidRDefault="002238FD" w:rsidP="00223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Карасукского района Новосибирской области, принятым решением12-й сессии Совета депутатов Карасукского района второго созыва от 31.05.2012 № 127 (Бюллетень органов местного самоуправления Карасукского района Новосибирской области от 02.07.2012 № 29 (244);</w:t>
      </w:r>
    </w:p>
    <w:p w:rsidR="002238FD" w:rsidRPr="002238FD" w:rsidRDefault="002238FD" w:rsidP="00223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города Карасука Карасукского района Новосибирской области, принятым решением сессии Совета депутатов муниципального образования города Карасука Карасукского района Новосибирской области от 20.12.2006, опубликованном в газете «Юго-Запад Сибири» от 28.12.2006, № 23 (46).</w:t>
      </w:r>
    </w:p>
    <w:p w:rsidR="009A5C3A" w:rsidRDefault="009A5C3A"/>
    <w:sectPr w:rsidR="009A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D5"/>
    <w:rsid w:val="002238FD"/>
    <w:rsid w:val="002C29A9"/>
    <w:rsid w:val="007E6EBE"/>
    <w:rsid w:val="009A5C3A"/>
    <w:rsid w:val="009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C3EB"/>
  <w15:chartTrackingRefBased/>
  <w15:docId w15:val="{088A7A44-3AC0-4C55-80E5-934AD64D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user30</cp:lastModifiedBy>
  <cp:revision>3</cp:revision>
  <dcterms:created xsi:type="dcterms:W3CDTF">2022-05-30T07:11:00Z</dcterms:created>
  <dcterms:modified xsi:type="dcterms:W3CDTF">2022-05-30T07:12:00Z</dcterms:modified>
</cp:coreProperties>
</file>